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BEB07" w14:textId="77777777" w:rsidR="00DA0AA2" w:rsidRPr="00385CC8" w:rsidRDefault="00DA0AA2" w:rsidP="00DA0A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385CC8">
        <w:rPr>
          <w:rFonts w:asciiTheme="minorHAnsi" w:hAnsiTheme="minorHAnsi" w:cstheme="minorHAnsi"/>
          <w:b/>
          <w:bCs/>
          <w:sz w:val="32"/>
          <w:szCs w:val="32"/>
          <w:u w:val="single"/>
        </w:rPr>
        <w:t>Soukromá střední škola pedagogiky a sociálních služeb, s.r.o.</w:t>
      </w:r>
    </w:p>
    <w:p w14:paraId="01A46BAD" w14:textId="77777777" w:rsidR="00DA0AA2" w:rsidRPr="00385CC8" w:rsidRDefault="00DA0AA2" w:rsidP="00DA0AA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BC37057" w14:textId="77777777" w:rsidR="00DA0AA2" w:rsidRPr="00385CC8" w:rsidRDefault="00DA0AA2" w:rsidP="00DA0AA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3B97EB1" w14:textId="3C5EFD7F" w:rsidR="00DA0AA2" w:rsidRPr="00385CC8" w:rsidRDefault="00482445" w:rsidP="00DA0A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85CC8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="00DA0AA2" w:rsidRPr="00385CC8">
        <w:rPr>
          <w:rFonts w:asciiTheme="minorHAnsi" w:hAnsiTheme="minorHAnsi" w:cstheme="minorHAnsi"/>
          <w:b/>
          <w:bCs/>
          <w:sz w:val="28"/>
          <w:szCs w:val="28"/>
        </w:rPr>
        <w:t>aturitní o</w:t>
      </w:r>
      <w:r w:rsidR="00E34235" w:rsidRPr="00385CC8">
        <w:rPr>
          <w:rFonts w:asciiTheme="minorHAnsi" w:hAnsiTheme="minorHAnsi" w:cstheme="minorHAnsi"/>
          <w:b/>
          <w:bCs/>
          <w:sz w:val="28"/>
          <w:szCs w:val="28"/>
        </w:rPr>
        <w:t>kruhy z psychologie pro školní rok 202</w:t>
      </w:r>
      <w:r w:rsidR="00A979ED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E34235" w:rsidRPr="00385CC8">
        <w:rPr>
          <w:rFonts w:asciiTheme="minorHAnsi" w:hAnsiTheme="minorHAnsi" w:cstheme="minorHAnsi"/>
          <w:b/>
          <w:bCs/>
          <w:sz w:val="28"/>
          <w:szCs w:val="28"/>
        </w:rPr>
        <w:t>/2</w:t>
      </w:r>
      <w:r w:rsidR="00A979ED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6E3E1D68" w14:textId="77777777" w:rsidR="00DA0AA2" w:rsidRPr="00385CC8" w:rsidRDefault="00DA0AA2" w:rsidP="00DA0AA2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85CC8">
        <w:rPr>
          <w:rFonts w:asciiTheme="minorHAnsi" w:hAnsiTheme="minorHAnsi" w:cstheme="minorHAnsi"/>
          <w:b/>
          <w:bCs/>
          <w:sz w:val="28"/>
          <w:szCs w:val="28"/>
        </w:rPr>
        <w:t>75-31-M01/Předškolní a mimoškolní pedagogika</w:t>
      </w:r>
    </w:p>
    <w:p w14:paraId="5FFB23D1" w14:textId="77777777" w:rsidR="00DA0AA2" w:rsidRPr="00385CC8" w:rsidRDefault="00DA0AA2" w:rsidP="00DA0AA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099E2EA" w14:textId="77777777" w:rsidR="00A0000B" w:rsidRPr="00385CC8" w:rsidRDefault="00A0000B" w:rsidP="00A000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85CC8">
        <w:rPr>
          <w:rFonts w:asciiTheme="minorHAnsi" w:hAnsiTheme="minorHAnsi" w:cstheme="minorHAnsi"/>
          <w:b/>
          <w:bCs/>
          <w:sz w:val="24"/>
          <w:szCs w:val="24"/>
        </w:rPr>
        <w:t>Psychologie</w:t>
      </w:r>
    </w:p>
    <w:p w14:paraId="6AA30A9D" w14:textId="77777777" w:rsidR="00440DEA" w:rsidRPr="00385CC8" w:rsidRDefault="00440DEA" w:rsidP="00A000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BDB208D" w14:textId="77777777" w:rsidR="00A0000B" w:rsidRPr="00385CC8" w:rsidRDefault="00D42A4D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Psychologie jako věda (</w:t>
      </w:r>
      <w:r w:rsidR="00551BAC" w:rsidRPr="00385CC8">
        <w:rPr>
          <w:rFonts w:asciiTheme="minorHAnsi" w:hAnsiTheme="minorHAnsi" w:cstheme="minorHAnsi"/>
          <w:sz w:val="24"/>
          <w:szCs w:val="24"/>
        </w:rPr>
        <w:t xml:space="preserve">předmět psychologie, </w:t>
      </w:r>
      <w:r w:rsidRPr="00385CC8">
        <w:rPr>
          <w:rFonts w:asciiTheme="minorHAnsi" w:hAnsiTheme="minorHAnsi" w:cstheme="minorHAnsi"/>
          <w:sz w:val="24"/>
          <w:szCs w:val="24"/>
        </w:rPr>
        <w:t>psychologické disciplíny, metody zkoumání, odborná základna, význam studia psychologie)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7C69D5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Determinace lidské psychiky </w:t>
      </w:r>
      <w:r w:rsidR="00D42A4D" w:rsidRPr="00385CC8">
        <w:rPr>
          <w:rFonts w:asciiTheme="minorHAnsi" w:hAnsiTheme="minorHAnsi" w:cstheme="minorHAnsi"/>
          <w:sz w:val="24"/>
          <w:szCs w:val="24"/>
        </w:rPr>
        <w:t>(biologická, sociální, psychologická)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FF4FB73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Temperament a charakter</w:t>
      </w:r>
      <w:r w:rsidR="00D42A4D" w:rsidRPr="00385CC8">
        <w:rPr>
          <w:rFonts w:asciiTheme="minorHAnsi" w:hAnsiTheme="minorHAnsi" w:cstheme="minorHAnsi"/>
          <w:sz w:val="24"/>
          <w:szCs w:val="24"/>
        </w:rPr>
        <w:t xml:space="preserve"> (</w:t>
      </w:r>
      <w:r w:rsidR="00551BAC" w:rsidRPr="00385CC8">
        <w:rPr>
          <w:rFonts w:asciiTheme="minorHAnsi" w:hAnsiTheme="minorHAnsi" w:cstheme="minorHAnsi"/>
          <w:sz w:val="24"/>
          <w:szCs w:val="24"/>
        </w:rPr>
        <w:t xml:space="preserve">vývoj temperamentu, </w:t>
      </w:r>
      <w:r w:rsidR="00D42A4D" w:rsidRPr="00385CC8">
        <w:rPr>
          <w:rFonts w:asciiTheme="minorHAnsi" w:hAnsiTheme="minorHAnsi" w:cstheme="minorHAnsi"/>
          <w:sz w:val="24"/>
          <w:szCs w:val="24"/>
        </w:rPr>
        <w:t>typologie temperamentu – např. Eysenckovo pojetí, teorie vrozených temperamentových bloků; Kohlbergova stadia morálního vývoje)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5F5A59" w14:textId="77777777" w:rsidR="00440DEA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Schopnosti (vlohy, </w:t>
      </w:r>
      <w:r w:rsidR="00551BAC" w:rsidRPr="00385CC8">
        <w:rPr>
          <w:rFonts w:asciiTheme="minorHAnsi" w:hAnsiTheme="minorHAnsi" w:cstheme="minorHAnsi"/>
          <w:sz w:val="24"/>
          <w:szCs w:val="24"/>
        </w:rPr>
        <w:t>druhy schopností,</w:t>
      </w:r>
      <w:r w:rsidR="003D0FCE" w:rsidRPr="00385CC8">
        <w:rPr>
          <w:rFonts w:asciiTheme="minorHAnsi" w:hAnsiTheme="minorHAnsi" w:cstheme="minorHAnsi"/>
          <w:sz w:val="24"/>
          <w:szCs w:val="24"/>
        </w:rPr>
        <w:t xml:space="preserve"> rozvoj schopností,</w:t>
      </w:r>
      <w:r w:rsidR="00551BAC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Pr="00385CC8">
        <w:rPr>
          <w:rFonts w:asciiTheme="minorHAnsi" w:hAnsiTheme="minorHAnsi" w:cstheme="minorHAnsi"/>
          <w:sz w:val="24"/>
          <w:szCs w:val="24"/>
        </w:rPr>
        <w:t>pojetí inteligence</w:t>
      </w:r>
      <w:r w:rsidR="003D0FCE" w:rsidRPr="00385CC8">
        <w:rPr>
          <w:rFonts w:asciiTheme="minorHAnsi" w:hAnsiTheme="minorHAnsi" w:cstheme="minorHAnsi"/>
          <w:sz w:val="24"/>
          <w:szCs w:val="24"/>
        </w:rPr>
        <w:t>, tvořivost</w:t>
      </w:r>
      <w:r w:rsidRPr="00385CC8">
        <w:rPr>
          <w:rFonts w:asciiTheme="minorHAnsi" w:hAnsiTheme="minorHAnsi" w:cstheme="minorHAnsi"/>
          <w:sz w:val="24"/>
          <w:szCs w:val="24"/>
        </w:rPr>
        <w:t>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19CDA3" w14:textId="77777777" w:rsidR="00440DEA" w:rsidRPr="00385CC8" w:rsidRDefault="00551BAC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Motivace (druhy motivace, motivace k učení; Maslowova </w:t>
      </w:r>
      <w:r w:rsidR="00440DEA" w:rsidRPr="00385CC8">
        <w:rPr>
          <w:rFonts w:asciiTheme="minorHAnsi" w:hAnsiTheme="minorHAnsi" w:cstheme="minorHAnsi"/>
          <w:sz w:val="24"/>
          <w:szCs w:val="24"/>
        </w:rPr>
        <w:t>teorie potřeb)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="00B43A20" w:rsidRPr="00385CC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6DF2E717" w14:textId="77777777" w:rsidR="00440DEA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Sebepojetí (struktura sebepojetí, teorie s</w:t>
      </w:r>
      <w:r w:rsidR="007F5FF7" w:rsidRPr="00385CC8">
        <w:rPr>
          <w:rFonts w:asciiTheme="minorHAnsi" w:hAnsiTheme="minorHAnsi" w:cstheme="minorHAnsi"/>
          <w:sz w:val="24"/>
          <w:szCs w:val="24"/>
        </w:rPr>
        <w:t>ociální zrcadla, vývoj sebepojetí</w:t>
      </w:r>
      <w:r w:rsidR="003D0FCE" w:rsidRPr="00385CC8">
        <w:rPr>
          <w:rFonts w:asciiTheme="minorHAnsi" w:hAnsiTheme="minorHAnsi" w:cstheme="minorHAnsi"/>
          <w:sz w:val="24"/>
          <w:szCs w:val="24"/>
        </w:rPr>
        <w:t>, metody sebepoznání)</w:t>
      </w:r>
    </w:p>
    <w:p w14:paraId="1A984762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Socializace </w:t>
      </w:r>
      <w:r w:rsidR="00D42A4D" w:rsidRPr="00385CC8">
        <w:rPr>
          <w:rFonts w:asciiTheme="minorHAnsi" w:hAnsiTheme="minorHAnsi" w:cstheme="minorHAnsi"/>
          <w:sz w:val="24"/>
          <w:szCs w:val="24"/>
        </w:rPr>
        <w:t xml:space="preserve">(typy socializace, </w:t>
      </w:r>
      <w:r w:rsidR="00551BAC" w:rsidRPr="00385CC8">
        <w:rPr>
          <w:rFonts w:asciiTheme="minorHAnsi" w:hAnsiTheme="minorHAnsi" w:cstheme="minorHAnsi"/>
          <w:sz w:val="24"/>
          <w:szCs w:val="24"/>
        </w:rPr>
        <w:t xml:space="preserve">činitelé socializace, </w:t>
      </w:r>
      <w:r w:rsidR="00D42A4D" w:rsidRPr="00385CC8">
        <w:rPr>
          <w:rFonts w:asciiTheme="minorHAnsi" w:hAnsiTheme="minorHAnsi" w:cstheme="minorHAnsi"/>
          <w:sz w:val="24"/>
          <w:szCs w:val="24"/>
        </w:rPr>
        <w:t>mechanismy sociálního učení)</w:t>
      </w:r>
    </w:p>
    <w:p w14:paraId="5EF72EFA" w14:textId="77777777" w:rsidR="00440DEA" w:rsidRPr="00385CC8" w:rsidRDefault="003D0FCE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Třída jako s</w:t>
      </w:r>
      <w:r w:rsidR="00440DEA" w:rsidRPr="00385CC8">
        <w:rPr>
          <w:rFonts w:asciiTheme="minorHAnsi" w:hAnsiTheme="minorHAnsi" w:cstheme="minorHAnsi"/>
          <w:sz w:val="24"/>
          <w:szCs w:val="24"/>
        </w:rPr>
        <w:t>ociální skupina (</w:t>
      </w:r>
      <w:r w:rsidR="00551BAC" w:rsidRPr="00385CC8">
        <w:rPr>
          <w:rFonts w:asciiTheme="minorHAnsi" w:hAnsiTheme="minorHAnsi" w:cstheme="minorHAnsi"/>
          <w:sz w:val="24"/>
          <w:szCs w:val="24"/>
        </w:rPr>
        <w:t xml:space="preserve">skupinová dynamika a struktura, </w:t>
      </w:r>
      <w:r w:rsidR="00440DEA" w:rsidRPr="00385CC8">
        <w:rPr>
          <w:rFonts w:asciiTheme="minorHAnsi" w:hAnsiTheme="minorHAnsi" w:cstheme="minorHAnsi"/>
          <w:sz w:val="24"/>
          <w:szCs w:val="24"/>
        </w:rPr>
        <w:t>sociální role, skupinová norma)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D20563" w14:textId="77777777" w:rsidR="003D0FCE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Sociální interakce </w:t>
      </w:r>
      <w:r w:rsidR="003D0FCE" w:rsidRPr="00385CC8">
        <w:rPr>
          <w:rFonts w:asciiTheme="minorHAnsi" w:hAnsiTheme="minorHAnsi" w:cstheme="minorHAnsi"/>
          <w:sz w:val="24"/>
          <w:szCs w:val="24"/>
        </w:rPr>
        <w:t>(chyby v sociální percepci, sebenaplňující proroctví, možnosti ovlivňování postojů)</w:t>
      </w:r>
    </w:p>
    <w:p w14:paraId="53257544" w14:textId="77777777" w:rsidR="00440DEA" w:rsidRPr="00385CC8" w:rsidRDefault="003D0FCE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Sociální </w:t>
      </w:r>
      <w:r w:rsidR="00440DEA" w:rsidRPr="00385CC8">
        <w:rPr>
          <w:rFonts w:asciiTheme="minorHAnsi" w:hAnsiTheme="minorHAnsi" w:cstheme="minorHAnsi"/>
          <w:sz w:val="24"/>
          <w:szCs w:val="24"/>
        </w:rPr>
        <w:t>komunikace (</w:t>
      </w:r>
      <w:r w:rsidRPr="00385CC8">
        <w:rPr>
          <w:rFonts w:asciiTheme="minorHAnsi" w:hAnsiTheme="minorHAnsi" w:cstheme="minorHAnsi"/>
          <w:sz w:val="24"/>
          <w:szCs w:val="24"/>
        </w:rPr>
        <w:t xml:space="preserve">komunikace </w:t>
      </w:r>
      <w:r w:rsidR="009568CC" w:rsidRPr="00385CC8">
        <w:rPr>
          <w:rFonts w:asciiTheme="minorHAnsi" w:hAnsiTheme="minorHAnsi" w:cstheme="minorHAnsi"/>
          <w:sz w:val="24"/>
          <w:szCs w:val="24"/>
        </w:rPr>
        <w:t>verbální</w:t>
      </w:r>
      <w:r w:rsidRPr="00385CC8">
        <w:rPr>
          <w:rFonts w:asciiTheme="minorHAnsi" w:hAnsiTheme="minorHAnsi" w:cstheme="minorHAnsi"/>
          <w:sz w:val="24"/>
          <w:szCs w:val="24"/>
        </w:rPr>
        <w:t>/</w:t>
      </w:r>
      <w:r w:rsidR="009568CC" w:rsidRPr="00385CC8">
        <w:rPr>
          <w:rFonts w:asciiTheme="minorHAnsi" w:hAnsiTheme="minorHAnsi" w:cstheme="minorHAnsi"/>
          <w:sz w:val="24"/>
          <w:szCs w:val="24"/>
        </w:rPr>
        <w:t>neverbální</w:t>
      </w:r>
      <w:r w:rsidRPr="00385CC8">
        <w:rPr>
          <w:rFonts w:asciiTheme="minorHAnsi" w:hAnsiTheme="minorHAnsi" w:cstheme="minorHAnsi"/>
          <w:sz w:val="24"/>
          <w:szCs w:val="24"/>
        </w:rPr>
        <w:t>, komunikace s dítětem/s rodičem/s problémovým rodičem</w:t>
      </w:r>
      <w:r w:rsidR="00440DEA" w:rsidRPr="00385CC8">
        <w:rPr>
          <w:rFonts w:asciiTheme="minorHAnsi" w:hAnsiTheme="minorHAnsi" w:cstheme="minorHAnsi"/>
          <w:sz w:val="24"/>
          <w:szCs w:val="24"/>
        </w:rPr>
        <w:t>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F10846C" w14:textId="77777777" w:rsidR="003074CA" w:rsidRPr="00385CC8" w:rsidRDefault="00440DEA" w:rsidP="003E77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Vliv sociálního prostředí na rozvoj osobnosti (rodina, škola, vrstevnická skupina, kultura ad.)</w:t>
      </w:r>
      <w:r w:rsidR="00B43A20" w:rsidRPr="00385CC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17B51175" w14:textId="77777777" w:rsidR="00440DEA" w:rsidRPr="00385CC8" w:rsidRDefault="00440DEA" w:rsidP="003E77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Sociálně patologické jevy (</w:t>
      </w:r>
      <w:r w:rsidR="009568CC" w:rsidRPr="00385CC8">
        <w:rPr>
          <w:rFonts w:asciiTheme="minorHAnsi" w:hAnsiTheme="minorHAnsi" w:cstheme="minorHAnsi"/>
          <w:sz w:val="24"/>
          <w:szCs w:val="24"/>
        </w:rPr>
        <w:t xml:space="preserve">disociální, </w:t>
      </w:r>
      <w:r w:rsidRPr="00385CC8">
        <w:rPr>
          <w:rFonts w:asciiTheme="minorHAnsi" w:hAnsiTheme="minorHAnsi" w:cstheme="minorHAnsi"/>
          <w:sz w:val="24"/>
          <w:szCs w:val="24"/>
        </w:rPr>
        <w:t>asociální, antisociální chování, šikana</w:t>
      </w:r>
      <w:r w:rsidR="009568CC" w:rsidRPr="00385CC8">
        <w:rPr>
          <w:rFonts w:asciiTheme="minorHAnsi" w:hAnsiTheme="minorHAnsi" w:cstheme="minorHAnsi"/>
          <w:sz w:val="24"/>
          <w:szCs w:val="24"/>
        </w:rPr>
        <w:t>, kyberšikana</w:t>
      </w:r>
      <w:r w:rsidRPr="00385CC8">
        <w:rPr>
          <w:rFonts w:asciiTheme="minorHAnsi" w:hAnsiTheme="minorHAnsi" w:cstheme="minorHAnsi"/>
          <w:sz w:val="24"/>
          <w:szCs w:val="24"/>
        </w:rPr>
        <w:t>) vs. prosociální chování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6B7066" w14:textId="77777777" w:rsidR="003D0FCE" w:rsidRPr="00385CC8" w:rsidRDefault="00440DEA" w:rsidP="001D27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Poznávací </w:t>
      </w:r>
      <w:r w:rsidR="009568CC" w:rsidRPr="00385CC8">
        <w:rPr>
          <w:rFonts w:asciiTheme="minorHAnsi" w:hAnsiTheme="minorHAnsi" w:cstheme="minorHAnsi"/>
          <w:sz w:val="24"/>
          <w:szCs w:val="24"/>
        </w:rPr>
        <w:t>procesy (</w:t>
      </w:r>
      <w:r w:rsidR="003D0FCE" w:rsidRPr="00385CC8">
        <w:rPr>
          <w:rFonts w:asciiTheme="minorHAnsi" w:hAnsiTheme="minorHAnsi" w:cstheme="minorHAnsi"/>
          <w:sz w:val="24"/>
          <w:szCs w:val="24"/>
        </w:rPr>
        <w:t>druhy poznáva</w:t>
      </w:r>
      <w:r w:rsidR="003B335C" w:rsidRPr="00385CC8">
        <w:rPr>
          <w:rFonts w:asciiTheme="minorHAnsi" w:hAnsiTheme="minorHAnsi" w:cstheme="minorHAnsi"/>
          <w:sz w:val="24"/>
          <w:szCs w:val="24"/>
        </w:rPr>
        <w:t>c</w:t>
      </w:r>
      <w:r w:rsidR="003D0FCE" w:rsidRPr="00385CC8">
        <w:rPr>
          <w:rFonts w:asciiTheme="minorHAnsi" w:hAnsiTheme="minorHAnsi" w:cstheme="minorHAnsi"/>
          <w:sz w:val="24"/>
          <w:szCs w:val="24"/>
        </w:rPr>
        <w:t>ích procesů,</w:t>
      </w:r>
      <w:r w:rsidR="009568CC" w:rsidRPr="00385CC8">
        <w:rPr>
          <w:rFonts w:asciiTheme="minorHAnsi" w:hAnsiTheme="minorHAnsi" w:cstheme="minorHAnsi"/>
          <w:sz w:val="24"/>
          <w:szCs w:val="24"/>
        </w:rPr>
        <w:t xml:space="preserve"> kognitivní vývoj dle Piageta</w:t>
      </w:r>
      <w:r w:rsidRPr="00385CC8">
        <w:rPr>
          <w:rFonts w:asciiTheme="minorHAnsi" w:hAnsiTheme="minorHAnsi" w:cstheme="minorHAnsi"/>
          <w:sz w:val="24"/>
          <w:szCs w:val="24"/>
        </w:rPr>
        <w:t>)</w:t>
      </w:r>
      <w:r w:rsidR="00B43A20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C3CA0D" w14:textId="77777777" w:rsidR="003B335C" w:rsidRPr="00385CC8" w:rsidRDefault="003B335C" w:rsidP="001D27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Učení (typy učení, proces učení, učební styly)</w:t>
      </w:r>
    </w:p>
    <w:p w14:paraId="2E2B3C20" w14:textId="77777777" w:rsidR="00440DEA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Emoce (</w:t>
      </w:r>
      <w:r w:rsidR="003B335C" w:rsidRPr="00385CC8">
        <w:rPr>
          <w:rFonts w:asciiTheme="minorHAnsi" w:hAnsiTheme="minorHAnsi" w:cstheme="minorHAnsi"/>
          <w:sz w:val="24"/>
          <w:szCs w:val="24"/>
        </w:rPr>
        <w:t>typy</w:t>
      </w:r>
      <w:r w:rsidR="009568CC" w:rsidRPr="00385CC8">
        <w:rPr>
          <w:rFonts w:asciiTheme="minorHAnsi" w:hAnsiTheme="minorHAnsi" w:cstheme="minorHAnsi"/>
          <w:sz w:val="24"/>
          <w:szCs w:val="24"/>
        </w:rPr>
        <w:t xml:space="preserve"> emocí, </w:t>
      </w:r>
      <w:r w:rsidRPr="00385CC8">
        <w:rPr>
          <w:rFonts w:asciiTheme="minorHAnsi" w:hAnsiTheme="minorHAnsi" w:cstheme="minorHAnsi"/>
          <w:sz w:val="24"/>
          <w:szCs w:val="24"/>
        </w:rPr>
        <w:t>emoční vřelost/chlad, emoční inteligence/oploštělost, práce s emocemi)</w:t>
      </w:r>
      <w:r w:rsidR="003074CA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BAE6493" w14:textId="77777777" w:rsidR="003B335C" w:rsidRPr="00385CC8" w:rsidRDefault="00A0000B" w:rsidP="00B43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Periodizace lidského vývoje</w:t>
      </w:r>
      <w:r w:rsidR="00173E06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="003B335C" w:rsidRPr="00385CC8">
        <w:rPr>
          <w:rFonts w:asciiTheme="minorHAnsi" w:hAnsiTheme="minorHAnsi" w:cstheme="minorHAnsi"/>
          <w:sz w:val="24"/>
          <w:szCs w:val="24"/>
        </w:rPr>
        <w:t xml:space="preserve">– prenatální období až předškolní věk </w:t>
      </w:r>
    </w:p>
    <w:p w14:paraId="7C554A25" w14:textId="77777777" w:rsidR="003B335C" w:rsidRPr="00385CC8" w:rsidRDefault="003B335C" w:rsidP="00B438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Periodizace lidského vývoje – mladší školní věk až stáří</w:t>
      </w:r>
    </w:p>
    <w:p w14:paraId="6F0A591C" w14:textId="77777777" w:rsidR="00440DEA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Zahájení docházky do MŠ (</w:t>
      </w:r>
      <w:r w:rsidR="009568CC" w:rsidRPr="00385CC8">
        <w:rPr>
          <w:rFonts w:asciiTheme="minorHAnsi" w:hAnsiTheme="minorHAnsi" w:cstheme="minorHAnsi"/>
          <w:sz w:val="24"/>
          <w:szCs w:val="24"/>
        </w:rPr>
        <w:t>adaptace, adaptační obtíže</w:t>
      </w:r>
      <w:r w:rsidRPr="00385CC8">
        <w:rPr>
          <w:rFonts w:asciiTheme="minorHAnsi" w:hAnsiTheme="minorHAnsi" w:cstheme="minorHAnsi"/>
          <w:sz w:val="24"/>
          <w:szCs w:val="24"/>
        </w:rPr>
        <w:t>, možnosti podpory</w:t>
      </w:r>
      <w:r w:rsidR="009568CC" w:rsidRPr="00385CC8">
        <w:rPr>
          <w:rFonts w:asciiTheme="minorHAnsi" w:hAnsiTheme="minorHAnsi" w:cstheme="minorHAnsi"/>
          <w:sz w:val="24"/>
          <w:szCs w:val="24"/>
        </w:rPr>
        <w:t>, potřeby dítěte dle Matějčka</w:t>
      </w:r>
      <w:r w:rsidRPr="00385CC8">
        <w:rPr>
          <w:rFonts w:asciiTheme="minorHAnsi" w:hAnsiTheme="minorHAnsi" w:cstheme="minorHAnsi"/>
          <w:sz w:val="24"/>
          <w:szCs w:val="24"/>
        </w:rPr>
        <w:t>)</w:t>
      </w:r>
      <w:r w:rsidR="003074CA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="003074CA" w:rsidRPr="00385CC8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B09881F" w14:textId="77777777" w:rsidR="00440DEA" w:rsidRPr="00385CC8" w:rsidRDefault="00440DEA" w:rsidP="00440DE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Školní zralost (fyzická, psychická</w:t>
      </w:r>
      <w:r w:rsidR="009568CC" w:rsidRPr="00385CC8">
        <w:rPr>
          <w:rFonts w:asciiTheme="minorHAnsi" w:hAnsiTheme="minorHAnsi" w:cstheme="minorHAnsi"/>
          <w:sz w:val="24"/>
          <w:szCs w:val="24"/>
        </w:rPr>
        <w:t>, odklad školní docházky</w:t>
      </w:r>
      <w:r w:rsidRPr="00385CC8">
        <w:rPr>
          <w:rFonts w:asciiTheme="minorHAnsi" w:hAnsiTheme="minorHAnsi" w:cstheme="minorHAnsi"/>
          <w:sz w:val="24"/>
          <w:szCs w:val="24"/>
        </w:rPr>
        <w:t>)</w:t>
      </w:r>
      <w:r w:rsidR="003074CA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B7FE54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Náročné životní situace (konflikt, frustrace, deprivace, trauma, stres</w:t>
      </w:r>
      <w:r w:rsidR="009568CC" w:rsidRPr="00385CC8">
        <w:rPr>
          <w:rFonts w:asciiTheme="minorHAnsi" w:hAnsiTheme="minorHAnsi" w:cstheme="minorHAnsi"/>
          <w:sz w:val="24"/>
          <w:szCs w:val="24"/>
        </w:rPr>
        <w:t>; strategie zvládání zátěže</w:t>
      </w:r>
      <w:r w:rsidRPr="00385CC8">
        <w:rPr>
          <w:rFonts w:asciiTheme="minorHAnsi" w:hAnsiTheme="minorHAnsi" w:cstheme="minorHAnsi"/>
          <w:sz w:val="24"/>
          <w:szCs w:val="24"/>
        </w:rPr>
        <w:t>)</w:t>
      </w:r>
    </w:p>
    <w:p w14:paraId="28A4BA1A" w14:textId="77777777" w:rsidR="003B335C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Syndrom vyhoření</w:t>
      </w:r>
      <w:r w:rsidR="003B335C" w:rsidRPr="00385CC8">
        <w:rPr>
          <w:rFonts w:asciiTheme="minorHAnsi" w:hAnsiTheme="minorHAnsi" w:cstheme="minorHAnsi"/>
          <w:sz w:val="24"/>
          <w:szCs w:val="24"/>
        </w:rPr>
        <w:t xml:space="preserve"> (projevy syndromu vyhoření, jeho fáze)</w:t>
      </w:r>
    </w:p>
    <w:p w14:paraId="52844C43" w14:textId="77777777" w:rsidR="003B335C" w:rsidRPr="00385CC8" w:rsidRDefault="003B335C" w:rsidP="0067316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P</w:t>
      </w:r>
      <w:r w:rsidR="00A0000B" w:rsidRPr="00385CC8">
        <w:rPr>
          <w:rFonts w:asciiTheme="minorHAnsi" w:hAnsiTheme="minorHAnsi" w:cstheme="minorHAnsi"/>
          <w:sz w:val="24"/>
          <w:szCs w:val="24"/>
        </w:rPr>
        <w:t>sychohygiena</w:t>
      </w:r>
      <w:r w:rsidR="00173E06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Pr="00385CC8">
        <w:rPr>
          <w:rFonts w:asciiTheme="minorHAnsi" w:hAnsiTheme="minorHAnsi" w:cstheme="minorHAnsi"/>
          <w:sz w:val="24"/>
          <w:szCs w:val="24"/>
        </w:rPr>
        <w:t>(</w:t>
      </w:r>
      <w:r w:rsidR="00173E06" w:rsidRPr="00385CC8">
        <w:rPr>
          <w:rFonts w:asciiTheme="minorHAnsi" w:hAnsiTheme="minorHAnsi" w:cstheme="minorHAnsi"/>
          <w:sz w:val="24"/>
          <w:szCs w:val="24"/>
        </w:rPr>
        <w:t>zásady psychohygieny</w:t>
      </w:r>
      <w:r w:rsidRPr="00385CC8">
        <w:rPr>
          <w:rFonts w:asciiTheme="minorHAnsi" w:hAnsiTheme="minorHAnsi" w:cstheme="minorHAnsi"/>
          <w:sz w:val="24"/>
          <w:szCs w:val="24"/>
        </w:rPr>
        <w:t>, supervize/intervize, psychohygiena učení</w:t>
      </w:r>
      <w:r w:rsidR="00173E06" w:rsidRPr="00385CC8">
        <w:rPr>
          <w:rFonts w:asciiTheme="minorHAnsi" w:hAnsiTheme="minorHAnsi" w:cstheme="minorHAnsi"/>
          <w:sz w:val="24"/>
          <w:szCs w:val="24"/>
        </w:rPr>
        <w:t>)</w:t>
      </w:r>
      <w:r w:rsidR="003074CA"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6E97DB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Mentální retardace</w:t>
      </w:r>
      <w:r w:rsidR="00FE6717" w:rsidRPr="00385CC8">
        <w:rPr>
          <w:rFonts w:asciiTheme="minorHAnsi" w:hAnsiTheme="minorHAnsi" w:cstheme="minorHAnsi"/>
          <w:sz w:val="24"/>
          <w:szCs w:val="24"/>
        </w:rPr>
        <w:t xml:space="preserve"> (typy mentální retardace, životní kontext jedince s MR)</w:t>
      </w:r>
    </w:p>
    <w:p w14:paraId="05C48D85" w14:textId="77777777" w:rsidR="003B335C" w:rsidRPr="00385CC8" w:rsidRDefault="003B335C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Poruchy chování a emocí (ADHD/ADD, PAS, porucha opozičního vzdoru)</w:t>
      </w:r>
    </w:p>
    <w:p w14:paraId="6075DC70" w14:textId="77777777" w:rsidR="00A0000B" w:rsidRPr="00385CC8" w:rsidRDefault="00A0000B" w:rsidP="00A000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>Syndrom CAN</w:t>
      </w:r>
      <w:r w:rsidR="003B335C" w:rsidRPr="00385CC8">
        <w:rPr>
          <w:rFonts w:asciiTheme="minorHAnsi" w:hAnsiTheme="minorHAnsi" w:cstheme="minorHAnsi"/>
          <w:sz w:val="24"/>
          <w:szCs w:val="24"/>
        </w:rPr>
        <w:t xml:space="preserve"> </w:t>
      </w:r>
      <w:r w:rsidR="00750C13" w:rsidRPr="00385CC8">
        <w:rPr>
          <w:rFonts w:asciiTheme="minorHAnsi" w:hAnsiTheme="minorHAnsi" w:cstheme="minorHAnsi"/>
          <w:sz w:val="24"/>
          <w:szCs w:val="24"/>
        </w:rPr>
        <w:t xml:space="preserve">(projevy, </w:t>
      </w:r>
      <w:r w:rsidR="00AF4AD0" w:rsidRPr="00385CC8">
        <w:rPr>
          <w:rFonts w:asciiTheme="minorHAnsi" w:hAnsiTheme="minorHAnsi" w:cstheme="minorHAnsi"/>
          <w:sz w:val="24"/>
          <w:szCs w:val="24"/>
        </w:rPr>
        <w:t xml:space="preserve">rizikové vlivy, </w:t>
      </w:r>
      <w:r w:rsidR="00F91D45" w:rsidRPr="00385CC8">
        <w:rPr>
          <w:rFonts w:asciiTheme="minorHAnsi" w:hAnsiTheme="minorHAnsi" w:cstheme="minorHAnsi"/>
          <w:sz w:val="24"/>
          <w:szCs w:val="24"/>
        </w:rPr>
        <w:t xml:space="preserve">následky, </w:t>
      </w:r>
      <w:r w:rsidR="00750C13" w:rsidRPr="00385CC8">
        <w:rPr>
          <w:rFonts w:asciiTheme="minorHAnsi" w:hAnsiTheme="minorHAnsi" w:cstheme="minorHAnsi"/>
          <w:sz w:val="24"/>
          <w:szCs w:val="24"/>
        </w:rPr>
        <w:t>postup při intervenci)</w:t>
      </w:r>
    </w:p>
    <w:p w14:paraId="2496AC93" w14:textId="336F2CBD" w:rsidR="003074CA" w:rsidRPr="00385CC8" w:rsidRDefault="003074CA" w:rsidP="003074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B14231B" w14:textId="5E93917B" w:rsidR="00E34235" w:rsidRPr="00385CC8" w:rsidRDefault="00E34235" w:rsidP="003074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E41113F" w14:textId="3CD0CAE9" w:rsidR="00E34235" w:rsidRPr="00385CC8" w:rsidRDefault="00E34235" w:rsidP="003074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 xml:space="preserve">V Obratani </w:t>
      </w:r>
      <w:r w:rsidR="00AF0569">
        <w:rPr>
          <w:rFonts w:asciiTheme="minorHAnsi" w:hAnsiTheme="minorHAnsi" w:cstheme="minorHAnsi"/>
          <w:sz w:val="24"/>
          <w:szCs w:val="24"/>
        </w:rPr>
        <w:t>1</w:t>
      </w:r>
      <w:r w:rsidRPr="00385CC8">
        <w:rPr>
          <w:rFonts w:asciiTheme="minorHAnsi" w:hAnsiTheme="minorHAnsi" w:cstheme="minorHAnsi"/>
          <w:sz w:val="24"/>
          <w:szCs w:val="24"/>
        </w:rPr>
        <w:t>. 9. 202</w:t>
      </w:r>
      <w:r w:rsidR="00AF0569">
        <w:rPr>
          <w:rFonts w:asciiTheme="minorHAnsi" w:hAnsiTheme="minorHAnsi" w:cstheme="minorHAnsi"/>
          <w:sz w:val="24"/>
          <w:szCs w:val="24"/>
        </w:rPr>
        <w:t>5</w:t>
      </w:r>
      <w:bookmarkStart w:id="0" w:name="_GoBack"/>
      <w:bookmarkEnd w:id="0"/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  <w:t xml:space="preserve"> . . . . . . . . . . . . . . . . . . . . . . . . </w:t>
      </w:r>
      <w:proofErr w:type="gramStart"/>
      <w:r w:rsidRPr="00385CC8">
        <w:rPr>
          <w:rFonts w:asciiTheme="minorHAnsi" w:hAnsiTheme="minorHAnsi" w:cstheme="minorHAnsi"/>
          <w:sz w:val="24"/>
          <w:szCs w:val="24"/>
        </w:rPr>
        <w:t>. . . .</w:t>
      </w:r>
      <w:proofErr w:type="gramEnd"/>
      <w:r w:rsidRPr="00385C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AE9C7B" w14:textId="03E06BA1" w:rsidR="00E34235" w:rsidRPr="00385CC8" w:rsidRDefault="00E34235" w:rsidP="003074C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</w:r>
      <w:r w:rsidRPr="00385CC8">
        <w:rPr>
          <w:rFonts w:asciiTheme="minorHAnsi" w:hAnsiTheme="minorHAnsi" w:cstheme="minorHAnsi"/>
          <w:sz w:val="24"/>
          <w:szCs w:val="24"/>
        </w:rPr>
        <w:tab/>
        <w:t>Mgr. František Vostarek</w:t>
      </w:r>
    </w:p>
    <w:sectPr w:rsidR="00E34235" w:rsidRPr="00385CC8" w:rsidSect="00385CC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D5D8B"/>
    <w:multiLevelType w:val="hybridMultilevel"/>
    <w:tmpl w:val="F9E0B494"/>
    <w:lvl w:ilvl="0" w:tplc="3A9CC03E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00B"/>
    <w:rsid w:val="00085F69"/>
    <w:rsid w:val="001245FD"/>
    <w:rsid w:val="00173E06"/>
    <w:rsid w:val="003074CA"/>
    <w:rsid w:val="00385CC8"/>
    <w:rsid w:val="003B335C"/>
    <w:rsid w:val="003D0FCE"/>
    <w:rsid w:val="00440DEA"/>
    <w:rsid w:val="00482445"/>
    <w:rsid w:val="00536CE5"/>
    <w:rsid w:val="00551BAC"/>
    <w:rsid w:val="00750C13"/>
    <w:rsid w:val="007F5FF7"/>
    <w:rsid w:val="008C3E0E"/>
    <w:rsid w:val="00920EB1"/>
    <w:rsid w:val="009568CC"/>
    <w:rsid w:val="00A0000B"/>
    <w:rsid w:val="00A979ED"/>
    <w:rsid w:val="00AF0569"/>
    <w:rsid w:val="00AF4AD0"/>
    <w:rsid w:val="00B43A20"/>
    <w:rsid w:val="00D42A4D"/>
    <w:rsid w:val="00DA0AA2"/>
    <w:rsid w:val="00E34235"/>
    <w:rsid w:val="00F91D45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D015"/>
  <w15:chartTrackingRefBased/>
  <w15:docId w15:val="{C6EF4597-B610-4AFB-9018-1AA1BF7C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00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6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64959EAC4044458A4541F86C85A82C" ma:contentTypeVersion="15" ma:contentTypeDescription="Vytvoří nový dokument" ma:contentTypeScope="" ma:versionID="6d49320d5de1c1279218656ca8ffdd7b">
  <xsd:schema xmlns:xsd="http://www.w3.org/2001/XMLSchema" xmlns:xs="http://www.w3.org/2001/XMLSchema" xmlns:p="http://schemas.microsoft.com/office/2006/metadata/properties" xmlns:ns2="3c7f5be1-3605-48f2-9409-b1a86cd310a7" xmlns:ns3="44448895-cc95-4d55-bb95-7e0b63f4b5a3" targetNamespace="http://schemas.microsoft.com/office/2006/metadata/properties" ma:root="true" ma:fieldsID="a95c34ec4d063c7a27aa78aef6779b6d" ns2:_="" ns3:_="">
    <xsd:import namespace="3c7f5be1-3605-48f2-9409-b1a86cd310a7"/>
    <xsd:import namespace="44448895-cc95-4d55-bb95-7e0b63f4b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5be1-3605-48f2-9409-b1a86cd31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5a08eec-b271-4a6d-851b-dbeca1763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48895-cc95-4d55-bb95-7e0b63f4b5a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9336269-b8c7-4bb2-b9bf-f19d480ab830}" ma:internalName="TaxCatchAll" ma:showField="CatchAllData" ma:web="44448895-cc95-4d55-bb95-7e0b63f4b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48895-cc95-4d55-bb95-7e0b63f4b5a3" xsi:nil="true"/>
    <lcf76f155ced4ddcb4097134ff3c332f xmlns="3c7f5be1-3605-48f2-9409-b1a86cd310a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531DE-BFD1-46B6-8F16-4DEFA146A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5be1-3605-48f2-9409-b1a86cd310a7"/>
    <ds:schemaRef ds:uri="44448895-cc95-4d55-bb95-7e0b63f4b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A1CD9-A92D-47DA-9857-B65E103F10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AD8DE-789D-4B7A-B991-FE087A55328F}">
  <ds:schemaRefs>
    <ds:schemaRef ds:uri="http://purl.org/dc/elements/1.1/"/>
    <ds:schemaRef ds:uri="3c7f5be1-3605-48f2-9409-b1a86cd310a7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44448895-cc95-4d55-bb95-7e0b63f4b5a3"/>
    <ds:schemaRef ds:uri="http://schemas.openxmlformats.org/package/2006/metadata/core-properties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85140A-3CE6-4F03-B249-401A5BA1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Pecha Šimotová</dc:creator>
  <cp:keywords/>
  <dc:description/>
  <cp:lastModifiedBy>Pavla Krátošková</cp:lastModifiedBy>
  <cp:revision>7</cp:revision>
  <dcterms:created xsi:type="dcterms:W3CDTF">2022-09-26T12:08:00Z</dcterms:created>
  <dcterms:modified xsi:type="dcterms:W3CDTF">2025-09-20T14:15:00Z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0x0101007464959EAC4044458A4541F86C85A82C</vt:lpwstr>
  </property>
  <property fmtid="{D5CDD505-2E9C-101B-9397-08002B2CF9AE}" pid="3" name="MediaServiceImageTags">
    <vt:lpwstr/>
  </property>
</Properties>
</file>